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AA69" w14:textId="6B928297" w:rsidR="00B7742B" w:rsidRDefault="00B7742B" w:rsidP="00B7742B">
      <w:pPr>
        <w:spacing w:before="240" w:after="360" w:line="312" w:lineRule="auto"/>
        <w:rPr>
          <w:rFonts w:ascii="Arial" w:hAnsi="Arial" w:cs="Arial"/>
          <w:b/>
          <w:sz w:val="38"/>
          <w:szCs w:val="38"/>
          <w:lang w:val="de-DE"/>
        </w:rPr>
      </w:pPr>
      <w:r w:rsidRPr="00B7742B">
        <w:rPr>
          <w:rFonts w:ascii="Arial" w:hAnsi="Arial" w:cs="Arial"/>
          <w:b/>
          <w:sz w:val="38"/>
          <w:szCs w:val="38"/>
          <w:lang w:val="de-DE"/>
        </w:rPr>
        <w:t>Konsortium aus ecsec, Spherity</w:t>
      </w:r>
      <w:r w:rsidR="00171B3D" w:rsidRPr="00171B3D">
        <w:rPr>
          <w:rFonts w:ascii="Arial" w:hAnsi="Arial" w:cs="Arial"/>
          <w:b/>
          <w:sz w:val="38"/>
          <w:szCs w:val="38"/>
          <w:lang w:val="de-DE"/>
        </w:rPr>
        <w:t xml:space="preserve"> </w:t>
      </w:r>
      <w:r w:rsidR="00171B3D">
        <w:rPr>
          <w:rFonts w:ascii="Arial" w:hAnsi="Arial" w:cs="Arial"/>
          <w:b/>
          <w:sz w:val="38"/>
          <w:szCs w:val="38"/>
          <w:lang w:val="de-DE"/>
        </w:rPr>
        <w:t xml:space="preserve">and </w:t>
      </w:r>
      <w:r w:rsidR="00171B3D" w:rsidRPr="00B7742B">
        <w:rPr>
          <w:rFonts w:ascii="Arial" w:hAnsi="Arial" w:cs="Arial"/>
          <w:b/>
          <w:sz w:val="38"/>
          <w:szCs w:val="38"/>
          <w:lang w:val="de-DE"/>
        </w:rPr>
        <w:t xml:space="preserve">msg </w:t>
      </w:r>
      <w:r w:rsidRPr="00B7742B">
        <w:rPr>
          <w:rFonts w:ascii="Arial" w:hAnsi="Arial" w:cs="Arial"/>
          <w:b/>
          <w:sz w:val="38"/>
          <w:szCs w:val="38"/>
          <w:lang w:val="de-DE"/>
        </w:rPr>
        <w:t xml:space="preserve">gewinnt das Implementierungsprojekt der Gaia-X Notarization API </w:t>
      </w:r>
    </w:p>
    <w:p w14:paraId="2692146E" w14:textId="0001B442" w:rsidR="006E0D1F" w:rsidRDefault="00171B3D" w:rsidP="00B7742B">
      <w:pPr>
        <w:spacing w:before="240" w:after="360" w:line="312" w:lineRule="auto"/>
        <w:rPr>
          <w:rFonts w:ascii="Arial" w:hAnsi="Arial" w:cs="Arial"/>
          <w:b/>
          <w:sz w:val="38"/>
          <w:szCs w:val="38"/>
          <w:lang w:val="de-DE"/>
        </w:rPr>
      </w:pPr>
      <w:r w:rsidRPr="00171B3D">
        <w:rPr>
          <w:rFonts w:ascii="Arial" w:hAnsi="Arial" w:cs="Arial"/>
          <w:b/>
          <w:color w:val="808080" w:themeColor="background1" w:themeShade="80"/>
          <w:sz w:val="28"/>
          <w:szCs w:val="28"/>
          <w:lang w:val="de-DE"/>
        </w:rPr>
        <w:t>ecsec, Spherity und msg sind mit dem Gewinn des Gaia-X Notarization API Implementierungsprojekts weiterhin führend in der dezentralen Identitätstechnologie in Europa.</w:t>
      </w:r>
    </w:p>
    <w:p w14:paraId="0B136E55" w14:textId="1D31DD4B" w:rsidR="006A4056" w:rsidRDefault="0040304B" w:rsidP="006A4056">
      <w:pPr>
        <w:spacing w:before="240" w:after="360" w:line="360" w:lineRule="auto"/>
        <w:jc w:val="both"/>
        <w:rPr>
          <w:rFonts w:ascii="Arial" w:hAnsi="Arial" w:cs="Arial"/>
          <w:b/>
          <w:lang w:val="de-DE"/>
        </w:rPr>
      </w:pPr>
      <w:r w:rsidRPr="0040304B">
        <w:rPr>
          <w:rFonts w:ascii="Arial" w:hAnsi="Arial" w:cs="Arial"/>
          <w:b/>
          <w:lang w:val="de-DE"/>
        </w:rPr>
        <w:t>[Michelau</w:t>
      </w:r>
      <w:r w:rsidR="00B7742B" w:rsidRPr="00B7742B">
        <w:rPr>
          <w:rFonts w:ascii="Arial" w:hAnsi="Arial" w:cs="Arial"/>
          <w:b/>
          <w:lang w:val="de-DE"/>
        </w:rPr>
        <w:t>/Ismaning/Dortmund,</w:t>
      </w:r>
      <w:r w:rsidR="001246C0">
        <w:rPr>
          <w:rFonts w:ascii="Arial" w:hAnsi="Arial" w:cs="Arial"/>
          <w:b/>
          <w:lang w:val="de-DE"/>
        </w:rPr>
        <w:t xml:space="preserve"> </w:t>
      </w:r>
      <w:r w:rsidR="006E0D1F">
        <w:rPr>
          <w:rFonts w:ascii="Arial" w:hAnsi="Arial" w:cs="Arial"/>
          <w:b/>
          <w:lang w:val="de-DE"/>
        </w:rPr>
        <w:t>23</w:t>
      </w:r>
      <w:r w:rsidR="00B7742B">
        <w:rPr>
          <w:rFonts w:ascii="Arial" w:hAnsi="Arial" w:cs="Arial"/>
          <w:b/>
          <w:lang w:val="de-DE"/>
        </w:rPr>
        <w:t>.02.2022</w:t>
      </w:r>
      <w:r w:rsidRPr="0040304B">
        <w:rPr>
          <w:rFonts w:ascii="Arial" w:hAnsi="Arial" w:cs="Arial"/>
          <w:b/>
          <w:lang w:val="de-DE"/>
        </w:rPr>
        <w:t xml:space="preserve">] </w:t>
      </w:r>
      <w:r w:rsidR="00B7742B" w:rsidRPr="00B7742B">
        <w:rPr>
          <w:rFonts w:ascii="Arial" w:hAnsi="Arial" w:cs="Arial"/>
          <w:b/>
          <w:lang w:val="de-DE"/>
        </w:rPr>
        <w:t xml:space="preserve">Ein Konsortium aus ecsec, Spherity </w:t>
      </w:r>
      <w:r w:rsidR="00171B3D">
        <w:rPr>
          <w:rFonts w:ascii="Arial" w:hAnsi="Arial" w:cs="Arial"/>
          <w:b/>
          <w:lang w:val="de-DE"/>
        </w:rPr>
        <w:t xml:space="preserve">und msg </w:t>
      </w:r>
      <w:r w:rsidR="00B7742B" w:rsidRPr="00B7742B">
        <w:rPr>
          <w:rFonts w:ascii="Arial" w:hAnsi="Arial" w:cs="Arial"/>
          <w:b/>
          <w:lang w:val="de-DE"/>
        </w:rPr>
        <w:t xml:space="preserve">hat </w:t>
      </w:r>
      <w:r w:rsidR="00B7742B">
        <w:rPr>
          <w:rFonts w:ascii="Arial" w:hAnsi="Arial" w:cs="Arial"/>
          <w:b/>
          <w:lang w:val="de-DE"/>
        </w:rPr>
        <w:t>die</w:t>
      </w:r>
      <w:r w:rsidR="00B7742B" w:rsidRPr="00B7742B">
        <w:rPr>
          <w:rFonts w:ascii="Arial" w:hAnsi="Arial" w:cs="Arial"/>
          <w:b/>
          <w:lang w:val="de-DE"/>
        </w:rPr>
        <w:t xml:space="preserve"> vom </w:t>
      </w:r>
      <w:hyperlink r:id="rId8" w:history="1">
        <w:r w:rsidR="00B7742B" w:rsidRPr="009E321C">
          <w:rPr>
            <w:rStyle w:val="Hyperlink"/>
            <w:rFonts w:ascii="Arial" w:hAnsi="Arial" w:cs="Arial"/>
            <w:b/>
            <w:lang w:val="de-DE"/>
          </w:rPr>
          <w:t>Bundesministerium für Wirtschaft und Klimaschutz</w:t>
        </w:r>
      </w:hyperlink>
      <w:r w:rsidR="00B7742B" w:rsidRPr="00B7742B">
        <w:rPr>
          <w:rFonts w:ascii="Arial" w:hAnsi="Arial" w:cs="Arial"/>
          <w:b/>
          <w:lang w:val="de-DE"/>
        </w:rPr>
        <w:t xml:space="preserve"> finanzierte </w:t>
      </w:r>
      <w:r w:rsidR="00B7742B">
        <w:rPr>
          <w:rFonts w:ascii="Arial" w:hAnsi="Arial" w:cs="Arial"/>
          <w:b/>
          <w:lang w:val="de-DE"/>
        </w:rPr>
        <w:t xml:space="preserve">Implementierung der </w:t>
      </w:r>
      <w:hyperlink r:id="rId9" w:history="1">
        <w:r w:rsidR="00B7742B" w:rsidRPr="00BA4044">
          <w:rPr>
            <w:rFonts w:ascii="Arial" w:eastAsia="Times New Roman" w:hAnsi="Arial" w:cs="Arial"/>
            <w:b/>
            <w:bCs/>
            <w:color w:val="1155CC"/>
            <w:u w:val="single"/>
            <w:lang w:val="de-DE" w:eastAsia="de-DE"/>
          </w:rPr>
          <w:t>Gaia-X Notarization API</w:t>
        </w:r>
      </w:hyperlink>
      <w:r w:rsidR="00B7742B" w:rsidRPr="00B7742B">
        <w:rPr>
          <w:rFonts w:ascii="Times New Roman" w:eastAsia="Times New Roman" w:hAnsi="Times New Roman"/>
          <w:sz w:val="24"/>
          <w:szCs w:val="24"/>
          <w:lang w:val="de-DE" w:eastAsia="de-DE"/>
        </w:rPr>
        <w:t xml:space="preserve"> </w:t>
      </w:r>
      <w:r w:rsidR="00B7742B" w:rsidRPr="00B7742B">
        <w:rPr>
          <w:rFonts w:ascii="Arial" w:hAnsi="Arial" w:cs="Arial"/>
          <w:b/>
          <w:lang w:val="de-DE"/>
        </w:rPr>
        <w:t>gewonnen. Gemeinsam mit</w:t>
      </w:r>
      <w:r w:rsidR="00B7742B">
        <w:rPr>
          <w:rFonts w:ascii="Arial" w:hAnsi="Arial" w:cs="Arial"/>
          <w:b/>
          <w:lang w:val="de-DE"/>
        </w:rPr>
        <w:t xml:space="preserve"> </w:t>
      </w:r>
      <w:hyperlink r:id="rId10" w:history="1">
        <w:r w:rsidR="00B7742B" w:rsidRPr="00B7742B">
          <w:rPr>
            <w:rStyle w:val="Hyperlink"/>
            <w:rFonts w:ascii="Arial" w:hAnsi="Arial" w:cs="Arial"/>
            <w:b/>
            <w:lang w:val="de-DE"/>
          </w:rPr>
          <w:t>msg</w:t>
        </w:r>
      </w:hyperlink>
      <w:r w:rsidR="00B7742B" w:rsidRPr="00B7742B">
        <w:rPr>
          <w:rFonts w:ascii="Arial" w:hAnsi="Arial" w:cs="Arial"/>
          <w:b/>
          <w:lang w:val="de-DE"/>
        </w:rPr>
        <w:t xml:space="preserve"> und </w:t>
      </w:r>
      <w:hyperlink r:id="rId11" w:history="1">
        <w:r w:rsidR="00B7742B" w:rsidRPr="00B7742B">
          <w:rPr>
            <w:rStyle w:val="Hyperlink"/>
            <w:rFonts w:ascii="Arial" w:hAnsi="Arial" w:cs="Arial"/>
            <w:b/>
            <w:lang w:val="de-DE"/>
          </w:rPr>
          <w:t>Spherity</w:t>
        </w:r>
      </w:hyperlink>
      <w:r w:rsidR="00B7742B">
        <w:rPr>
          <w:rFonts w:ascii="Arial" w:hAnsi="Arial" w:cs="Arial"/>
          <w:b/>
          <w:lang w:val="de-DE"/>
        </w:rPr>
        <w:t xml:space="preserve"> </w:t>
      </w:r>
      <w:r w:rsidR="004608B2">
        <w:rPr>
          <w:rFonts w:ascii="Arial" w:hAnsi="Arial" w:cs="Arial"/>
          <w:b/>
          <w:lang w:val="de-DE"/>
        </w:rPr>
        <w:t xml:space="preserve">entwickelt </w:t>
      </w:r>
      <w:r w:rsidR="00B7742B">
        <w:rPr>
          <w:rFonts w:ascii="Arial" w:hAnsi="Arial" w:cs="Arial"/>
          <w:b/>
          <w:lang w:val="de-DE"/>
        </w:rPr>
        <w:t xml:space="preserve">die </w:t>
      </w:r>
      <w:hyperlink r:id="rId12" w:history="1">
        <w:r w:rsidR="00B7742B" w:rsidRPr="00B7742B">
          <w:rPr>
            <w:rStyle w:val="Hyperlink"/>
            <w:rFonts w:ascii="Arial" w:hAnsi="Arial" w:cs="Arial"/>
            <w:b/>
            <w:lang w:val="de-DE"/>
          </w:rPr>
          <w:t>ecsec GmbH</w:t>
        </w:r>
      </w:hyperlink>
      <w:r w:rsidR="00B7742B" w:rsidRPr="00B7742B">
        <w:rPr>
          <w:rFonts w:ascii="Arial" w:hAnsi="Arial" w:cs="Arial"/>
          <w:b/>
          <w:lang w:val="de-DE"/>
        </w:rPr>
        <w:t xml:space="preserve"> eine dezentrale Identitätslösung, die es Unternehmen ermöglicht, ihre eigene dezentrale Identität zu verwalten und vorgegebene Stammdaten als W3C-konforme digitale verifizierbare Berechtigungsnachweise</w:t>
      </w:r>
      <w:r w:rsidR="009E321C">
        <w:rPr>
          <w:rFonts w:ascii="Arial" w:hAnsi="Arial" w:cs="Arial"/>
          <w:b/>
          <w:lang w:val="de-DE"/>
        </w:rPr>
        <w:t xml:space="preserve"> </w:t>
      </w:r>
      <w:r w:rsidR="009E321C" w:rsidRPr="009E321C">
        <w:rPr>
          <w:rFonts w:ascii="Arial" w:eastAsia="Times New Roman" w:hAnsi="Arial" w:cs="Arial"/>
          <w:b/>
          <w:bCs/>
          <w:color w:val="1155CC"/>
          <w:u w:val="single"/>
          <w:lang w:val="de-DE" w:eastAsia="de-DE"/>
        </w:rPr>
        <w:t>(</w:t>
      </w:r>
      <w:hyperlink r:id="rId13" w:history="1">
        <w:r w:rsidR="009E321C" w:rsidRPr="00BA4044">
          <w:rPr>
            <w:rFonts w:ascii="Arial" w:eastAsia="Times New Roman" w:hAnsi="Arial" w:cs="Arial"/>
            <w:b/>
            <w:bCs/>
            <w:color w:val="1155CC"/>
            <w:u w:val="single"/>
            <w:lang w:val="de-DE" w:eastAsia="de-DE"/>
          </w:rPr>
          <w:t>Verifiable Credentials</w:t>
        </w:r>
      </w:hyperlink>
      <w:r w:rsidR="009E321C" w:rsidRPr="009E321C">
        <w:rPr>
          <w:rFonts w:ascii="Arial" w:eastAsia="Times New Roman" w:hAnsi="Arial" w:cs="Arial"/>
          <w:b/>
          <w:bCs/>
          <w:color w:val="1155CC"/>
          <w:u w:val="single"/>
          <w:lang w:val="de-DE" w:eastAsia="de-DE"/>
        </w:rPr>
        <w:t>)</w:t>
      </w:r>
      <w:r w:rsidR="00B7742B" w:rsidRPr="00B7742B">
        <w:rPr>
          <w:rFonts w:ascii="Arial" w:hAnsi="Arial" w:cs="Arial"/>
          <w:b/>
          <w:lang w:val="de-DE"/>
        </w:rPr>
        <w:t xml:space="preserve"> zu beglaubigen. Die Lösung wird nach der Implementierungsphase als Open Source angeboten und ermöglicht allen Gaia-X-Teilnehmern sie als Referenzimplementierung zu nutzen, um sich Gaia-X und </w:t>
      </w:r>
      <w:hyperlink r:id="rId14" w:history="1">
        <w:r w:rsidR="00B7742B" w:rsidRPr="009E321C">
          <w:rPr>
            <w:rStyle w:val="Hyperlink"/>
            <w:rFonts w:ascii="Arial" w:hAnsi="Arial" w:cs="Arial"/>
            <w:b/>
            <w:lang w:val="de-DE"/>
          </w:rPr>
          <w:t>Catena-</w:t>
        </w:r>
        <w:r w:rsidR="009E321C" w:rsidRPr="009E321C">
          <w:rPr>
            <w:rStyle w:val="Hyperlink"/>
            <w:rFonts w:ascii="Arial" w:hAnsi="Arial" w:cs="Arial"/>
            <w:b/>
            <w:lang w:val="de-DE"/>
          </w:rPr>
          <w:t>X</w:t>
        </w:r>
      </w:hyperlink>
      <w:r w:rsidR="00B7742B" w:rsidRPr="00B7742B">
        <w:rPr>
          <w:rFonts w:ascii="Arial" w:hAnsi="Arial" w:cs="Arial"/>
          <w:b/>
          <w:lang w:val="de-DE"/>
        </w:rPr>
        <w:t xml:space="preserve"> oder anderen Ökosystemen anzuschließen, die dieselbe Basistechnologie verwenden. </w:t>
      </w:r>
    </w:p>
    <w:p w14:paraId="20F6F54B" w14:textId="1051FC5D" w:rsidR="00FE7F32" w:rsidRPr="00FE7F32" w:rsidRDefault="00FE7F32" w:rsidP="00417290">
      <w:pPr>
        <w:pStyle w:val="Textblock"/>
        <w:rPr>
          <w:b/>
        </w:rPr>
      </w:pPr>
      <w:r>
        <w:rPr>
          <w:b/>
        </w:rPr>
        <w:t xml:space="preserve">Die </w:t>
      </w:r>
      <w:r w:rsidRPr="00BA4044">
        <w:rPr>
          <w:b/>
        </w:rPr>
        <w:t>Gaia-X Notarization API</w:t>
      </w:r>
      <w:r w:rsidRPr="00FE7F32">
        <w:rPr>
          <w:b/>
        </w:rPr>
        <w:t xml:space="preserve"> </w:t>
      </w:r>
      <w:r>
        <w:rPr>
          <w:b/>
        </w:rPr>
        <w:t>im Detail</w:t>
      </w:r>
    </w:p>
    <w:p w14:paraId="09A1247D" w14:textId="6D1B71FE" w:rsidR="00417290" w:rsidRDefault="00417290" w:rsidP="00417290">
      <w:pPr>
        <w:pStyle w:val="Textblock"/>
      </w:pPr>
      <w:r>
        <w:t xml:space="preserve">Die Stammdatenbescheinigung von Unternehmen wird das Vertrauen in das Gaia-X-Ökosystem stärken. Sie wird es den Nutzern ermöglichen, die Herkunft von Informationen und deren Integrität zu überprüfen. Eine Vielzahl von Anwendungsfällen in der Industrie </w:t>
      </w:r>
      <w:r w:rsidR="006659AA">
        <w:t>wird</w:t>
      </w:r>
      <w:r>
        <w:t xml:space="preserve"> durch den Einsatz der neuen Technologie verbessert</w:t>
      </w:r>
      <w:r w:rsidR="005C0081">
        <w:t>. Dies umfasst</w:t>
      </w:r>
      <w:r>
        <w:t xml:space="preserve"> zum Beispiel</w:t>
      </w:r>
    </w:p>
    <w:p w14:paraId="6CED827A" w14:textId="50F10DDA" w:rsidR="00417290" w:rsidRDefault="00417290" w:rsidP="006659AA">
      <w:pPr>
        <w:pStyle w:val="Textblock"/>
        <w:numPr>
          <w:ilvl w:val="0"/>
          <w:numId w:val="8"/>
        </w:numPr>
        <w:spacing w:line="240" w:lineRule="auto"/>
        <w:ind w:left="1077" w:hanging="357"/>
        <w:jc w:val="left"/>
      </w:pPr>
      <w:r>
        <w:t xml:space="preserve">die Erstellung von Berechtigungsnachweisen wie Beschäftigung, Mitgliedschaft oder </w:t>
      </w:r>
      <w:r w:rsidR="004608B2">
        <w:t xml:space="preserve">Rolle im </w:t>
      </w:r>
      <w:r>
        <w:t>Unternehmen,</w:t>
      </w:r>
    </w:p>
    <w:p w14:paraId="49EDFDB8" w14:textId="4AAD4E12" w:rsidR="006659AA" w:rsidRDefault="00417290" w:rsidP="006659AA">
      <w:pPr>
        <w:pStyle w:val="Textblock"/>
        <w:numPr>
          <w:ilvl w:val="0"/>
          <w:numId w:val="8"/>
        </w:numPr>
        <w:spacing w:line="240" w:lineRule="auto"/>
        <w:ind w:left="1077" w:hanging="357"/>
        <w:jc w:val="left"/>
      </w:pPr>
      <w:r>
        <w:t>de</w:t>
      </w:r>
      <w:r w:rsidR="005C0081">
        <w:t>n</w:t>
      </w:r>
      <w:r>
        <w:t xml:space="preserve"> vertrauenswürdige</w:t>
      </w:r>
      <w:r w:rsidR="005C0081">
        <w:t>n</w:t>
      </w:r>
      <w:r>
        <w:t xml:space="preserve"> Austausch von Bankdaten zwischen Käufern und Verkäufern</w:t>
      </w:r>
      <w:r w:rsidR="006659AA">
        <w:t>,</w:t>
      </w:r>
    </w:p>
    <w:p w14:paraId="7E8AAF0F" w14:textId="77777777" w:rsidR="006659AA" w:rsidRDefault="006659AA" w:rsidP="006659AA">
      <w:pPr>
        <w:pStyle w:val="Textblock"/>
        <w:numPr>
          <w:ilvl w:val="0"/>
          <w:numId w:val="8"/>
        </w:numPr>
        <w:spacing w:line="240" w:lineRule="auto"/>
        <w:ind w:left="1077" w:hanging="357"/>
        <w:jc w:val="left"/>
      </w:pPr>
      <w:r>
        <w:t xml:space="preserve">die </w:t>
      </w:r>
      <w:r w:rsidR="00417290">
        <w:t>Digitalisierung von Produkt- und Unternehmenszertifizierungen, wie Gaia-X-Labels oder ISO-Zertifizierungen</w:t>
      </w:r>
      <w:r>
        <w:t>,</w:t>
      </w:r>
    </w:p>
    <w:p w14:paraId="6FCCA227" w14:textId="202D6E49" w:rsidR="006659AA" w:rsidRDefault="006659AA" w:rsidP="006659AA">
      <w:pPr>
        <w:pStyle w:val="Textblock"/>
        <w:numPr>
          <w:ilvl w:val="0"/>
          <w:numId w:val="8"/>
        </w:numPr>
        <w:spacing w:line="240" w:lineRule="auto"/>
        <w:ind w:left="1077" w:hanging="357"/>
        <w:jc w:val="left"/>
      </w:pPr>
      <w:r>
        <w:t>de</w:t>
      </w:r>
      <w:r w:rsidR="005C0081">
        <w:t>n</w:t>
      </w:r>
      <w:r>
        <w:t xml:space="preserve"> </w:t>
      </w:r>
      <w:r w:rsidR="005C0081">
        <w:t>Nachweis</w:t>
      </w:r>
      <w:r w:rsidR="00417290">
        <w:t xml:space="preserve"> der Gesetzeskonformität, z.B. für das US </w:t>
      </w:r>
      <w:hyperlink r:id="rId15" w:history="1">
        <w:r w:rsidR="00417290" w:rsidRPr="006659AA">
          <w:rPr>
            <w:rStyle w:val="Hyperlink"/>
          </w:rPr>
          <w:t>DSCSA</w:t>
        </w:r>
      </w:hyperlink>
      <w:r w:rsidR="00417290">
        <w:t xml:space="preserve"> oder </w:t>
      </w:r>
      <w:r w:rsidR="006F5175">
        <w:t xml:space="preserve">für </w:t>
      </w:r>
      <w:r w:rsidR="00417290">
        <w:t xml:space="preserve">das deutsche </w:t>
      </w:r>
      <w:hyperlink r:id="rId16" w:history="1">
        <w:r w:rsidR="004608B2">
          <w:rPr>
            <w:rStyle w:val="Hyperlink"/>
          </w:rPr>
          <w:t>Lieferkettengesetz</w:t>
        </w:r>
      </w:hyperlink>
      <w:r w:rsidR="006F5175">
        <w:t xml:space="preserve"> und</w:t>
      </w:r>
    </w:p>
    <w:p w14:paraId="1D711D0A" w14:textId="4D047FA3" w:rsidR="006A29D7" w:rsidRDefault="006659AA" w:rsidP="00B15033">
      <w:pPr>
        <w:pStyle w:val="Textblock"/>
        <w:numPr>
          <w:ilvl w:val="0"/>
          <w:numId w:val="8"/>
        </w:numPr>
        <w:spacing w:line="240" w:lineRule="auto"/>
        <w:ind w:left="1077" w:hanging="357"/>
        <w:jc w:val="left"/>
      </w:pPr>
      <w:r>
        <w:t>das Ausstellen</w:t>
      </w:r>
      <w:r w:rsidR="00417290">
        <w:t xml:space="preserve"> von Produktinformationen für die kommenden </w:t>
      </w:r>
      <w:hyperlink r:id="rId17" w:history="1">
        <w:r w:rsidR="00417290" w:rsidRPr="006659AA">
          <w:rPr>
            <w:rStyle w:val="Hyperlink"/>
          </w:rPr>
          <w:t>digitalen Produktpässe</w:t>
        </w:r>
      </w:hyperlink>
      <w:r w:rsidR="00417290">
        <w:t>.</w:t>
      </w:r>
    </w:p>
    <w:p w14:paraId="4A2886ED" w14:textId="09ECB0A1" w:rsidR="006A29D7" w:rsidRDefault="006A29D7" w:rsidP="006A29D7">
      <w:pPr>
        <w:pStyle w:val="Textblock"/>
      </w:pPr>
      <w:r>
        <w:lastRenderedPageBreak/>
        <w:t>Technisch gesehen wird die Notarization API</w:t>
      </w:r>
    </w:p>
    <w:p w14:paraId="0FCD153B" w14:textId="254F12D1" w:rsidR="006A29D7" w:rsidRDefault="006A29D7" w:rsidP="006A29D7">
      <w:pPr>
        <w:pStyle w:val="Textblock"/>
        <w:numPr>
          <w:ilvl w:val="0"/>
          <w:numId w:val="8"/>
        </w:numPr>
        <w:spacing w:line="240" w:lineRule="auto"/>
        <w:ind w:left="1077" w:hanging="357"/>
        <w:jc w:val="left"/>
      </w:pPr>
      <w:r>
        <w:t xml:space="preserve">die Zertifikate </w:t>
      </w:r>
      <w:r w:rsidR="006F5175">
        <w:t xml:space="preserve">von </w:t>
      </w:r>
      <w:r>
        <w:t>GAIA-X-Teilnehmer</w:t>
      </w:r>
      <w:r w:rsidR="006F5175">
        <w:t>n</w:t>
      </w:r>
      <w:r>
        <w:t xml:space="preserve"> von klassischen Formaten in digitale, überprüfbare Berechtigungsnachweise </w:t>
      </w:r>
      <w:r w:rsidRPr="006A29D7">
        <w:rPr>
          <w:rFonts w:eastAsia="Times New Roman"/>
          <w:color w:val="1155CC"/>
          <w:u w:val="single"/>
          <w:lang w:eastAsia="de-DE"/>
        </w:rPr>
        <w:t>(</w:t>
      </w:r>
      <w:hyperlink r:id="rId18" w:history="1">
        <w:r w:rsidRPr="00BA4044">
          <w:rPr>
            <w:rFonts w:eastAsia="Times New Roman"/>
            <w:color w:val="1155CC"/>
            <w:u w:val="single"/>
            <w:lang w:eastAsia="de-DE"/>
          </w:rPr>
          <w:t>Verifiable Credentials</w:t>
        </w:r>
      </w:hyperlink>
      <w:r w:rsidRPr="006A29D7">
        <w:rPr>
          <w:rFonts w:eastAsia="Times New Roman"/>
          <w:color w:val="1155CC"/>
          <w:u w:val="single"/>
          <w:lang w:eastAsia="de-DE"/>
        </w:rPr>
        <w:t>)</w:t>
      </w:r>
      <w:r w:rsidRPr="006A29D7">
        <w:t xml:space="preserve"> </w:t>
      </w:r>
      <w:r>
        <w:t>umwandeln</w:t>
      </w:r>
      <w:r w:rsidR="007D3F7C">
        <w:t xml:space="preserve"> und mit </w:t>
      </w:r>
      <w:r>
        <w:t>digitalen Signaturen</w:t>
      </w:r>
      <w:r w:rsidR="007D3F7C">
        <w:t xml:space="preserve"> versehen</w:t>
      </w:r>
      <w:r>
        <w:t>,</w:t>
      </w:r>
    </w:p>
    <w:p w14:paraId="49B437D3" w14:textId="10DC7F1B" w:rsidR="006A29D7" w:rsidRDefault="006A29D7" w:rsidP="006A29D7">
      <w:pPr>
        <w:pStyle w:val="Textblock"/>
        <w:numPr>
          <w:ilvl w:val="0"/>
          <w:numId w:val="8"/>
        </w:numPr>
        <w:spacing w:line="240" w:lineRule="auto"/>
        <w:ind w:left="1077" w:hanging="357"/>
        <w:jc w:val="left"/>
      </w:pPr>
      <w:r>
        <w:t xml:space="preserve">GAIA-X-Teilnehmer </w:t>
      </w:r>
      <w:r w:rsidR="006F5175">
        <w:t xml:space="preserve">samt der </w:t>
      </w:r>
      <w:r>
        <w:t>zugehörige</w:t>
      </w:r>
      <w:r w:rsidR="006F5175">
        <w:t>n</w:t>
      </w:r>
      <w:r>
        <w:t xml:space="preserve"> Stammdaten (z. B. </w:t>
      </w:r>
      <w:r w:rsidR="006F5175">
        <w:t xml:space="preserve">Name, </w:t>
      </w:r>
      <w:r>
        <w:t xml:space="preserve">Adresse, Steueridentifikationsnummer, Bankverbindung, </w:t>
      </w:r>
      <w:r w:rsidR="006F5175">
        <w:t>Eintrag im Handelsregister</w:t>
      </w:r>
      <w:r>
        <w:t>)</w:t>
      </w:r>
      <w:r w:rsidR="00751A92">
        <w:t xml:space="preserve"> digitalisieren,</w:t>
      </w:r>
    </w:p>
    <w:p w14:paraId="21CE66C1" w14:textId="2B677F71" w:rsidR="006A29D7" w:rsidRDefault="006A29D7" w:rsidP="006A29D7">
      <w:pPr>
        <w:pStyle w:val="Textblock"/>
        <w:numPr>
          <w:ilvl w:val="0"/>
          <w:numId w:val="8"/>
        </w:numPr>
        <w:spacing w:line="240" w:lineRule="auto"/>
        <w:ind w:left="1077" w:hanging="357"/>
        <w:jc w:val="left"/>
      </w:pPr>
      <w:r>
        <w:t xml:space="preserve">Unternehmen </w:t>
      </w:r>
      <w:r w:rsidR="005C5442">
        <w:t>die Möglichkeit geben</w:t>
      </w:r>
      <w:r w:rsidR="00751A92">
        <w:t xml:space="preserve"> ihre </w:t>
      </w:r>
      <w:r w:rsidR="007D3F7C">
        <w:t>„</w:t>
      </w:r>
      <w:r w:rsidR="005C5442" w:rsidRPr="005C5442">
        <w:t>Decentralized Identifiers</w:t>
      </w:r>
      <w:r w:rsidR="007D3F7C">
        <w:t>“</w:t>
      </w:r>
      <w:r w:rsidR="005C5442" w:rsidRPr="005C5442">
        <w:t xml:space="preserve"> (DIDs) </w:t>
      </w:r>
      <w:r>
        <w:t xml:space="preserve">für ihr Unternehmen, ihre IOT-Geräte, Produkte und Dienstleistungen </w:t>
      </w:r>
      <w:r w:rsidR="005C5442">
        <w:t xml:space="preserve">zu </w:t>
      </w:r>
      <w:r>
        <w:t xml:space="preserve">erstellen und </w:t>
      </w:r>
      <w:r w:rsidR="005C5442">
        <w:t xml:space="preserve">zu </w:t>
      </w:r>
      <w:r>
        <w:t>nutzen</w:t>
      </w:r>
      <w:r w:rsidR="005C5442">
        <w:t>,</w:t>
      </w:r>
    </w:p>
    <w:p w14:paraId="0648D06F" w14:textId="1B7DFEA9" w:rsidR="006A29D7" w:rsidRDefault="005C5442" w:rsidP="006A29D7">
      <w:pPr>
        <w:pStyle w:val="Textblock"/>
        <w:numPr>
          <w:ilvl w:val="0"/>
          <w:numId w:val="8"/>
        </w:numPr>
        <w:spacing w:line="240" w:lineRule="auto"/>
        <w:ind w:left="1077" w:hanging="357"/>
        <w:jc w:val="left"/>
      </w:pPr>
      <w:r>
        <w:t xml:space="preserve">eine Brücke zwischen </w:t>
      </w:r>
      <w:r w:rsidR="00EC1842">
        <w:t>selbstbestimmten Ident</w:t>
      </w:r>
      <w:r w:rsidR="00C72D3C">
        <w:t>it</w:t>
      </w:r>
      <w:r w:rsidR="00EC1842">
        <w:t xml:space="preserve">äten (Self-Sovereign Identity, </w:t>
      </w:r>
      <w:r w:rsidR="006A29D7">
        <w:t>SSI</w:t>
      </w:r>
      <w:r w:rsidR="00EC1842">
        <w:t>)</w:t>
      </w:r>
      <w:r w:rsidR="006A29D7">
        <w:t xml:space="preserve"> </w:t>
      </w:r>
      <w:r>
        <w:t>und</w:t>
      </w:r>
      <w:r w:rsidR="006A29D7">
        <w:t xml:space="preserve"> der eIDAS-Verordnung für </w:t>
      </w:r>
      <w:r w:rsidR="00551938">
        <w:t>U</w:t>
      </w:r>
      <w:r w:rsidR="006A29D7">
        <w:t xml:space="preserve">nternehmenseigentümer (z.B. Verwendung der eID) </w:t>
      </w:r>
      <w:r>
        <w:t>bilden,</w:t>
      </w:r>
    </w:p>
    <w:p w14:paraId="096756C1" w14:textId="7604DCBD" w:rsidR="006A29D7" w:rsidRDefault="006A29D7" w:rsidP="00EE1F5F">
      <w:pPr>
        <w:pStyle w:val="Textblock"/>
        <w:numPr>
          <w:ilvl w:val="0"/>
          <w:numId w:val="8"/>
        </w:numPr>
        <w:spacing w:line="240" w:lineRule="auto"/>
        <w:ind w:left="1077" w:hanging="357"/>
        <w:jc w:val="left"/>
      </w:pPr>
      <w:r>
        <w:t>Organisationen die Möglichkeit geben, als Vertrauensanker zu fungieren (z.B. Regierungen, Gaia-X AISBL)</w:t>
      </w:r>
      <w:r w:rsidR="005C5442">
        <w:t>.</w:t>
      </w:r>
    </w:p>
    <w:p w14:paraId="00C36356" w14:textId="30388231" w:rsidR="004E4E85" w:rsidRDefault="004E4E85" w:rsidP="00D63D49">
      <w:pPr>
        <w:pStyle w:val="Textblock"/>
        <w:rPr>
          <w:i/>
          <w:iCs/>
        </w:rPr>
      </w:pPr>
      <w:r w:rsidRPr="004E4E85">
        <w:rPr>
          <w:i/>
          <w:iCs/>
        </w:rPr>
        <w:t xml:space="preserve">"Wir sind stolz darauf, eine Kernkomponente für eine zukunftsfähige europäische Cloud-Infrastruktur zu entwickeln und zu implementieren", </w:t>
      </w:r>
      <w:r w:rsidRPr="006E0D1F">
        <w:t>sagt Steffen Schwalm, Principal Business Consultant bei msg security advisors:</w:t>
      </w:r>
      <w:r w:rsidRPr="004E4E85">
        <w:rPr>
          <w:i/>
          <w:iCs/>
        </w:rPr>
        <w:t xml:space="preserve"> "Mit der Notarization API entwickeln wir einen Kernbaustein für bewährte und sichere SSI als Schlüssel für vertrauenswürdigen Datenaustausch und -nutzung in Gaia-X."</w:t>
      </w:r>
    </w:p>
    <w:p w14:paraId="27B2169F" w14:textId="16CE3B3D" w:rsidR="00D63D49" w:rsidRDefault="00D63D49" w:rsidP="00D63D49">
      <w:pPr>
        <w:pStyle w:val="Textblock"/>
      </w:pPr>
      <w:r w:rsidRPr="00F10C3F">
        <w:rPr>
          <w:i/>
          <w:iCs/>
        </w:rPr>
        <w:t>"Die Implementierung der Gaia-X Federation Services wird eine starke Verschiebung hin zu dezentralen Technologien und deren Anwendung in industriellen Anwendungsfällen mit sich bringen.</w:t>
      </w:r>
      <w:r w:rsidR="00F10C3F" w:rsidRPr="00F10C3F">
        <w:rPr>
          <w:i/>
          <w:iCs/>
        </w:rPr>
        <w:t xml:space="preserve"> </w:t>
      </w:r>
      <w:r w:rsidRPr="00F10C3F">
        <w:rPr>
          <w:i/>
          <w:iCs/>
        </w:rPr>
        <w:t>Dezentrale Identitäten werden für Unternehmen, Produkte, IOT-Geräte und auch Menschen genutzt werden, um die Industrie im Allgemeinen und die Lieferkettenprozesse im Besonderen zu digitalisieren",</w:t>
      </w:r>
      <w:r>
        <w:t xml:space="preserve"> sagt Carsten Stöcker, Gründer von Spherity. </w:t>
      </w:r>
    </w:p>
    <w:p w14:paraId="7D8DFABF" w14:textId="22025262" w:rsidR="006A29D7" w:rsidRDefault="00D63D49" w:rsidP="00D63D49">
      <w:pPr>
        <w:pStyle w:val="Textblock"/>
      </w:pPr>
      <w:r>
        <w:t xml:space="preserve">Die Notarization API ist ein Beitrag zu Gaia-X, der die sichere und </w:t>
      </w:r>
      <w:r w:rsidR="001162A9">
        <w:t>standard</w:t>
      </w:r>
      <w:r>
        <w:t xml:space="preserve">konforme Ausstellung von verifizierbaren Berechtigungsnachweisen in Kombination mit einer Vertrauenskette zu einem bekannten </w:t>
      </w:r>
      <w:r w:rsidR="006F5175">
        <w:t xml:space="preserve">Vertrauensanker </w:t>
      </w:r>
      <w:r>
        <w:t>ermöglicht. Diese Lösung wird in einem hybriden Ansatz durch die Integration mit X.509-basierten Public-Key</w:t>
      </w:r>
      <w:r w:rsidR="00EC1842">
        <w:t xml:space="preserve"> </w:t>
      </w:r>
      <w:r>
        <w:t>Infrastrukturen implementiert. Diese Technologie wird die Grundlage für allgemeine Beglaubigungsdienste bilden, die eine unendliche Vielfalt an überprüfbaren Berechtigungsnachweisen für Bürger, Organisationen, Maschinen, Algorithmen oder Lieferkettenereignisse ausstellen können.</w:t>
      </w:r>
    </w:p>
    <w:p w14:paraId="565C41A6" w14:textId="77777777" w:rsidR="00950271" w:rsidRPr="00950271" w:rsidRDefault="00950271" w:rsidP="00F466A3">
      <w:pPr>
        <w:pStyle w:val="Projektheader"/>
        <w:spacing w:line="240" w:lineRule="auto"/>
      </w:pPr>
      <w:r w:rsidRPr="00950271">
        <w:t>Über Gaia-X</w:t>
      </w:r>
    </w:p>
    <w:p w14:paraId="781182F7" w14:textId="464D49F8" w:rsidR="003343AA" w:rsidRPr="004753CC" w:rsidRDefault="00950271" w:rsidP="00F466A3">
      <w:pPr>
        <w:spacing w:line="240" w:lineRule="auto"/>
        <w:rPr>
          <w:sz w:val="18"/>
          <w:szCs w:val="18"/>
          <w:lang w:val="de-DE"/>
        </w:rPr>
      </w:pPr>
      <w:r w:rsidRPr="004753CC">
        <w:rPr>
          <w:rFonts w:ascii="Arial" w:hAnsi="Arial" w:cs="Arial"/>
          <w:sz w:val="18"/>
          <w:szCs w:val="18"/>
          <w:lang w:val="de-DE"/>
        </w:rPr>
        <w:t xml:space="preserve">Das Projekt </w:t>
      </w:r>
      <w:hyperlink r:id="rId19" w:history="1">
        <w:r w:rsidRPr="004753CC">
          <w:rPr>
            <w:rStyle w:val="Hyperlink"/>
            <w:rFonts w:ascii="Arial" w:hAnsi="Arial" w:cs="Arial"/>
            <w:sz w:val="18"/>
            <w:szCs w:val="18"/>
            <w:lang w:val="de-DE"/>
          </w:rPr>
          <w:t>Gaia-X</w:t>
        </w:r>
      </w:hyperlink>
      <w:r w:rsidRPr="004753CC">
        <w:rPr>
          <w:rFonts w:ascii="Arial" w:hAnsi="Arial" w:cs="Arial"/>
          <w:sz w:val="18"/>
          <w:szCs w:val="18"/>
          <w:lang w:val="de-DE"/>
        </w:rPr>
        <w:t xml:space="preserve"> wurde mit dem Ziel ins Leben gerufen, eine europäische Dateninfrastruktur der nächsten Generation zu schaffen: </w:t>
      </w:r>
      <w:r w:rsidR="00551938" w:rsidRPr="004753CC">
        <w:rPr>
          <w:rFonts w:ascii="Arial" w:hAnsi="Arial" w:cs="Arial"/>
          <w:sz w:val="18"/>
          <w:szCs w:val="18"/>
          <w:lang w:val="de-DE"/>
        </w:rPr>
        <w:t>E</w:t>
      </w:r>
      <w:r w:rsidRPr="004753CC">
        <w:rPr>
          <w:rFonts w:ascii="Arial" w:hAnsi="Arial" w:cs="Arial"/>
          <w:sz w:val="18"/>
          <w:szCs w:val="18"/>
          <w:lang w:val="de-DE"/>
        </w:rPr>
        <w:t xml:space="preserve">in sicheres, föderiertes System, das die höchsten Standards der digitalen Souveränität </w:t>
      </w:r>
      <w:r w:rsidRPr="00F466A3">
        <w:rPr>
          <w:rFonts w:ascii="Arial" w:eastAsia="Times New Roman" w:hAnsi="Arial" w:cs="Arial"/>
          <w:sz w:val="18"/>
          <w:szCs w:val="18"/>
          <w:lang w:val="de-DE" w:eastAsia="de-DE"/>
        </w:rPr>
        <w:t>erfüllt und gleichzeitig Innovationen fördert. Dieses Projekt ist die Wiege eines offenen, transparenten digitalen Ökosystems, in dem Daten und Dienste in einer vertrauensvollen Umgebung zur Verfügung gestellt, gesammelt und gemeinsam genutzt werden können. Vertreter aus mehreren europäischen Ländern und weitere internationale Partner sind derzeit an dem Projekt beteiligt. Gaia-X steht in ständigem Austausch mit der Europäischen Kommission</w:t>
      </w:r>
      <w:r w:rsidR="00551938" w:rsidRPr="00F466A3">
        <w:rPr>
          <w:rFonts w:ascii="Arial" w:eastAsia="Times New Roman" w:hAnsi="Arial" w:cs="Arial"/>
          <w:sz w:val="18"/>
          <w:szCs w:val="18"/>
          <w:lang w:val="de-DE" w:eastAsia="de-DE"/>
        </w:rPr>
        <w:t>.</w:t>
      </w:r>
    </w:p>
    <w:p w14:paraId="34FDEED0" w14:textId="637E052E" w:rsidR="0040304B" w:rsidRDefault="0040304B" w:rsidP="00A9299C">
      <w:pPr>
        <w:pStyle w:val="Projektheader"/>
        <w:spacing w:line="240" w:lineRule="auto"/>
      </w:pPr>
      <w:r>
        <w:lastRenderedPageBreak/>
        <w:t>Über die ecsec GmbH</w:t>
      </w:r>
    </w:p>
    <w:p w14:paraId="24A8D3E7" w14:textId="5BD43726" w:rsidR="00950271" w:rsidRDefault="00DA3248" w:rsidP="00A9299C">
      <w:pPr>
        <w:pStyle w:val="HTMLVorformatiert"/>
        <w:jc w:val="both"/>
        <w:rPr>
          <w:rFonts w:ascii="Arial" w:hAnsi="Arial" w:cs="Arial"/>
          <w:sz w:val="18"/>
          <w:szCs w:val="18"/>
        </w:rPr>
      </w:pPr>
      <w:hyperlink r:id="rId20" w:history="1">
        <w:r w:rsidR="0040304B" w:rsidRPr="0011741A">
          <w:rPr>
            <w:rStyle w:val="Hyperlink"/>
            <w:rFonts w:ascii="Arial" w:hAnsi="Arial" w:cs="Arial"/>
            <w:sz w:val="18"/>
            <w:szCs w:val="18"/>
          </w:rPr>
          <w:t>ecsec</w:t>
        </w:r>
      </w:hyperlink>
      <w:r w:rsidR="0040304B">
        <w:rPr>
          <w:rFonts w:ascii="Arial" w:hAnsi="Arial" w:cs="Arial"/>
          <w:sz w:val="18"/>
          <w:szCs w:val="18"/>
        </w:rPr>
        <w:t xml:space="preserve"> ist ein spezialisierter Berater und Anbieter innovativer Lösungen </w:t>
      </w:r>
      <w:r w:rsidR="00950271" w:rsidRPr="00950271">
        <w:rPr>
          <w:rFonts w:ascii="Arial" w:hAnsi="Arial" w:cs="Arial"/>
          <w:sz w:val="18"/>
          <w:szCs w:val="18"/>
        </w:rPr>
        <w:t>in den Bereichen Identitätsmanagement, Internetsicherheit, elektronische Signatur, Cloud Computing, E-Government, Informationssicherheit, sichere Kommunikationstechnologie, Sicherheitsmanagement und Smartcard-Technologie. Basierend auf jahrelanger Erfahrung aus verschiedenen internationalen Projekten gehört die ecsec GmbH zu den führenden Anbietern in diesem Bereich und unterstützt namhafte Kunden bei der Konzeption und Umsetzung von maßgeschneiderten Lösungen.</w:t>
      </w:r>
    </w:p>
    <w:p w14:paraId="5C4AB97B" w14:textId="77777777" w:rsidR="00950271" w:rsidRDefault="00950271" w:rsidP="0040304B">
      <w:pPr>
        <w:pStyle w:val="HTMLVorformatiert"/>
        <w:spacing w:line="276" w:lineRule="auto"/>
        <w:jc w:val="both"/>
        <w:rPr>
          <w:rFonts w:ascii="Arial" w:hAnsi="Arial" w:cs="Arial"/>
          <w:sz w:val="18"/>
          <w:szCs w:val="18"/>
        </w:rPr>
      </w:pPr>
    </w:p>
    <w:p w14:paraId="25059D19" w14:textId="648FE8B9" w:rsidR="0040304B" w:rsidRDefault="00950271" w:rsidP="00A9299C">
      <w:pPr>
        <w:spacing w:after="120" w:line="240" w:lineRule="auto"/>
        <w:jc w:val="both"/>
        <w:rPr>
          <w:rFonts w:ascii="Arial" w:hAnsi="Arial" w:cs="Arial"/>
          <w:b/>
          <w:bCs/>
          <w:sz w:val="18"/>
          <w:lang w:val="de-DE"/>
        </w:rPr>
      </w:pPr>
      <w:r>
        <w:rPr>
          <w:rFonts w:ascii="Arial" w:hAnsi="Arial" w:cs="Arial"/>
          <w:b/>
          <w:bCs/>
          <w:sz w:val="18"/>
          <w:lang w:val="de-DE"/>
        </w:rPr>
        <w:t>Über msg</w:t>
      </w:r>
    </w:p>
    <w:p w14:paraId="1F5A1862" w14:textId="7F32A099" w:rsidR="006E0D1F" w:rsidRPr="00950271" w:rsidRDefault="006E0D1F" w:rsidP="00A9299C">
      <w:pPr>
        <w:pStyle w:val="HTMLVorformatiert"/>
        <w:jc w:val="both"/>
        <w:rPr>
          <w:rFonts w:ascii="Arial" w:hAnsi="Arial" w:cs="Arial"/>
          <w:sz w:val="18"/>
          <w:szCs w:val="18"/>
        </w:rPr>
      </w:pPr>
      <w:hyperlink r:id="rId21" w:history="1">
        <w:r w:rsidRPr="0011741A">
          <w:rPr>
            <w:rStyle w:val="Hyperlink"/>
            <w:rFonts w:ascii="Arial" w:hAnsi="Arial" w:cs="Arial"/>
            <w:bCs/>
          </w:rPr>
          <w:t>msg</w:t>
        </w:r>
      </w:hyperlink>
      <w:r w:rsidRPr="006E0D1F">
        <w:rPr>
          <w:rFonts w:ascii="Arial" w:hAnsi="Arial" w:cs="Arial"/>
          <w:sz w:val="18"/>
          <w:szCs w:val="18"/>
        </w:rPr>
        <w:t xml:space="preserve"> ist eine unabhängige, internationale Unternehmensgruppe mit mehr als 9.000 Mitarbeitern weltweit. Sie ist in 28 Ländern vertreten und unterstützt ihre Kunden bei der digitalen Transformation. Das 1980 gegründete Beratungs- und IT-Unternehmen umfasst strategische Unternehmensberatung und End-to-End-Lösungen für die Branchen Automotive, Banking, Consumer Products, Food, Healthcare, Insurance, Life Science &amp; Chemicals, Manufacturing, Public Sector, Telekommunikation, Reisen &amp; Logistik und Versorgungsunternehmen. Innerhalb der Gruppe decken eigenständige Unternehmen die unterschiedlichsten Branchen- und Themenkompetenzen ab. Die msg systems ag bildet den Kern der Unternehmensgruppe.</w:t>
      </w:r>
    </w:p>
    <w:p w14:paraId="3A3C4B98" w14:textId="362CD798" w:rsidR="00950271" w:rsidRDefault="00950271" w:rsidP="0040304B">
      <w:pPr>
        <w:spacing w:after="120"/>
        <w:jc w:val="both"/>
        <w:rPr>
          <w:rFonts w:ascii="Arial" w:hAnsi="Arial" w:cs="Arial"/>
          <w:b/>
          <w:bCs/>
          <w:sz w:val="18"/>
          <w:lang w:val="de-DE"/>
        </w:rPr>
      </w:pPr>
    </w:p>
    <w:p w14:paraId="71579FBB" w14:textId="2294D3F0" w:rsidR="00950271" w:rsidRDefault="00A9299C" w:rsidP="00A9299C">
      <w:pPr>
        <w:spacing w:after="120" w:line="240" w:lineRule="auto"/>
        <w:jc w:val="both"/>
        <w:rPr>
          <w:rFonts w:ascii="Arial" w:hAnsi="Arial" w:cs="Arial"/>
          <w:b/>
          <w:bCs/>
          <w:sz w:val="18"/>
          <w:lang w:val="de-DE"/>
        </w:rPr>
      </w:pPr>
      <w:r w:rsidRPr="00A9299C">
        <w:rPr>
          <w:rFonts w:ascii="Arial" w:hAnsi="Arial" w:cs="Arial"/>
          <w:b/>
          <w:bCs/>
          <w:sz w:val="18"/>
          <w:lang w:val="de-DE"/>
        </w:rPr>
        <w:t>Über Spherity</w:t>
      </w:r>
    </w:p>
    <w:p w14:paraId="4293527D" w14:textId="4DCA2A86" w:rsidR="00A9299C" w:rsidRPr="00A9299C" w:rsidRDefault="00DA3248" w:rsidP="00A9299C">
      <w:pPr>
        <w:pStyle w:val="HTMLVorformatiert"/>
        <w:jc w:val="both"/>
        <w:rPr>
          <w:rFonts w:ascii="Arial" w:hAnsi="Arial" w:cs="Arial"/>
          <w:sz w:val="18"/>
          <w:szCs w:val="18"/>
        </w:rPr>
      </w:pPr>
      <w:hyperlink r:id="rId22" w:history="1">
        <w:r w:rsidR="00A9299C" w:rsidRPr="00A9299C">
          <w:rPr>
            <w:rStyle w:val="Hyperlink"/>
            <w:rFonts w:ascii="Arial" w:hAnsi="Arial" w:cs="Arial"/>
            <w:sz w:val="18"/>
            <w:szCs w:val="18"/>
          </w:rPr>
          <w:t>Spherity</w:t>
        </w:r>
      </w:hyperlink>
      <w:r w:rsidR="00A9299C" w:rsidRPr="00A9299C">
        <w:rPr>
          <w:rFonts w:ascii="Arial" w:hAnsi="Arial" w:cs="Arial"/>
          <w:sz w:val="18"/>
          <w:szCs w:val="18"/>
        </w:rPr>
        <w:t xml:space="preserve"> ist ein deutscher Anbieter dezentraler digitaler Identitätssoftware, die sichere Identitäten für Unternehmen, Maschinen, Produkte, Daten und sogar Algorithmen bereitstellt. </w:t>
      </w:r>
      <w:r w:rsidR="001246C0">
        <w:rPr>
          <w:rFonts w:ascii="Arial" w:hAnsi="Arial" w:cs="Arial"/>
          <w:sz w:val="18"/>
          <w:szCs w:val="18"/>
        </w:rPr>
        <w:t>Das Unternehmen</w:t>
      </w:r>
      <w:r w:rsidR="00A9299C" w:rsidRPr="00A9299C">
        <w:rPr>
          <w:rFonts w:ascii="Arial" w:hAnsi="Arial" w:cs="Arial"/>
          <w:sz w:val="18"/>
          <w:szCs w:val="18"/>
        </w:rPr>
        <w:t xml:space="preserve"> </w:t>
      </w:r>
      <w:r w:rsidR="001246C0">
        <w:rPr>
          <w:rFonts w:ascii="Arial" w:hAnsi="Arial" w:cs="Arial"/>
          <w:sz w:val="18"/>
          <w:szCs w:val="18"/>
        </w:rPr>
        <w:t>liefert</w:t>
      </w:r>
      <w:r w:rsidR="00A9299C" w:rsidRPr="00A9299C">
        <w:rPr>
          <w:rFonts w:ascii="Arial" w:hAnsi="Arial" w:cs="Arial"/>
          <w:sz w:val="18"/>
          <w:szCs w:val="18"/>
        </w:rPr>
        <w:t xml:space="preserve"> die Technologie, um Compliance-Prozesse in hochregulierten technischen Sektoren zu digitalisieren und zu automatisieren. </w:t>
      </w:r>
      <w:r w:rsidR="001246C0">
        <w:rPr>
          <w:rFonts w:ascii="Arial" w:hAnsi="Arial" w:cs="Arial"/>
          <w:sz w:val="18"/>
          <w:szCs w:val="18"/>
        </w:rPr>
        <w:t>Spherity</w:t>
      </w:r>
      <w:r w:rsidR="00A9299C" w:rsidRPr="00A9299C">
        <w:rPr>
          <w:rFonts w:ascii="Arial" w:hAnsi="Arial" w:cs="Arial"/>
          <w:sz w:val="18"/>
          <w:szCs w:val="18"/>
        </w:rPr>
        <w:t xml:space="preserve"> Produkte sorgen für Cybersicherheit, Effizienz und Dateninteroperabilität in digitalen Wertschöpfungsketten. Spherity ist nach der Informationssicherheitsnorm </w:t>
      </w:r>
      <w:hyperlink r:id="rId23" w:history="1">
        <w:r w:rsidR="00A9299C" w:rsidRPr="001246C0">
          <w:rPr>
            <w:rStyle w:val="Hyperlink"/>
            <w:rFonts w:ascii="Arial" w:hAnsi="Arial" w:cs="Arial"/>
            <w:sz w:val="18"/>
            <w:szCs w:val="18"/>
          </w:rPr>
          <w:t>ISO 27001</w:t>
        </w:r>
      </w:hyperlink>
      <w:r w:rsidR="00A9299C" w:rsidRPr="00A9299C">
        <w:rPr>
          <w:rFonts w:ascii="Arial" w:hAnsi="Arial" w:cs="Arial"/>
          <w:sz w:val="18"/>
          <w:szCs w:val="18"/>
        </w:rPr>
        <w:t xml:space="preserve"> zertifiziert.</w:t>
      </w:r>
    </w:p>
    <w:p w14:paraId="1419A341" w14:textId="77777777" w:rsidR="00A9299C" w:rsidRDefault="00A9299C" w:rsidP="0040304B">
      <w:pPr>
        <w:spacing w:after="120"/>
        <w:jc w:val="both"/>
        <w:rPr>
          <w:rFonts w:ascii="Arial" w:hAnsi="Arial" w:cs="Arial"/>
          <w:b/>
          <w:bCs/>
          <w:sz w:val="18"/>
          <w:lang w:val="de-DE"/>
        </w:rPr>
      </w:pPr>
    </w:p>
    <w:p w14:paraId="33032CC9" w14:textId="449112D0" w:rsidR="001246C0" w:rsidRPr="001246C0" w:rsidRDefault="001246C0" w:rsidP="001246C0">
      <w:pPr>
        <w:spacing w:after="120"/>
        <w:jc w:val="both"/>
        <w:rPr>
          <w:rFonts w:ascii="Arial" w:hAnsi="Arial" w:cs="Arial"/>
          <w:b/>
          <w:bCs/>
          <w:sz w:val="18"/>
          <w:lang w:val="de-DE"/>
        </w:rPr>
      </w:pPr>
      <w:r w:rsidRPr="001246C0">
        <w:rPr>
          <w:rFonts w:ascii="Arial" w:hAnsi="Arial" w:cs="Arial"/>
          <w:b/>
          <w:bCs/>
          <w:sz w:val="18"/>
          <w:lang w:val="de-DE"/>
        </w:rPr>
        <w:t>Verwendete Quelle</w:t>
      </w:r>
      <w:r>
        <w:rPr>
          <w:rFonts w:ascii="Arial" w:hAnsi="Arial" w:cs="Arial"/>
          <w:b/>
          <w:bCs/>
          <w:sz w:val="18"/>
          <w:lang w:val="de-DE"/>
        </w:rPr>
        <w:t>n</w:t>
      </w:r>
    </w:p>
    <w:p w14:paraId="1BD9F876" w14:textId="4E1F3E3C" w:rsidR="001246C0" w:rsidRPr="00551938" w:rsidRDefault="00432AA4" w:rsidP="00551938">
      <w:pPr>
        <w:spacing w:after="120" w:line="240" w:lineRule="auto"/>
        <w:jc w:val="both"/>
        <w:rPr>
          <w:rFonts w:ascii="Arial" w:eastAsia="Times New Roman" w:hAnsi="Arial" w:cs="Arial"/>
          <w:sz w:val="18"/>
          <w:szCs w:val="18"/>
          <w:lang w:val="de-DE" w:eastAsia="de-DE"/>
        </w:rPr>
      </w:pPr>
      <w:hyperlink r:id="rId24" w:history="1">
        <w:r w:rsidR="005C0081" w:rsidRPr="0042231D">
          <w:rPr>
            <w:rStyle w:val="Hyperlink"/>
            <w:rFonts w:ascii="Arial" w:eastAsia="Times New Roman" w:hAnsi="Arial" w:cs="Arial"/>
            <w:sz w:val="18"/>
            <w:szCs w:val="18"/>
            <w:lang w:val="de-DE" w:eastAsia="de-DE"/>
          </w:rPr>
          <w:t>https://www.gxfs.de/federation-services/identity-trust/notarization-api/</w:t>
        </w:r>
      </w:hyperlink>
      <w:r w:rsidR="005C0081">
        <w:rPr>
          <w:rFonts w:ascii="Arial" w:eastAsia="Times New Roman" w:hAnsi="Arial" w:cs="Arial"/>
          <w:sz w:val="18"/>
          <w:szCs w:val="18"/>
          <w:lang w:val="de-DE" w:eastAsia="de-DE"/>
        </w:rPr>
        <w:t xml:space="preserve"> </w:t>
      </w:r>
    </w:p>
    <w:p w14:paraId="5C143C55" w14:textId="1FA36C53" w:rsidR="00CB2F7B" w:rsidRPr="00551938" w:rsidRDefault="00432AA4" w:rsidP="00551938">
      <w:pPr>
        <w:spacing w:after="120" w:line="240" w:lineRule="auto"/>
        <w:jc w:val="both"/>
        <w:rPr>
          <w:rFonts w:ascii="Arial" w:eastAsia="Times New Roman" w:hAnsi="Arial" w:cs="Arial"/>
          <w:sz w:val="18"/>
          <w:szCs w:val="18"/>
          <w:lang w:val="de-DE" w:eastAsia="de-DE"/>
        </w:rPr>
      </w:pPr>
      <w:hyperlink r:id="rId25" w:history="1">
        <w:r w:rsidR="005C0081" w:rsidRPr="0042231D">
          <w:rPr>
            <w:rStyle w:val="Hyperlink"/>
            <w:rFonts w:ascii="Arial" w:eastAsia="Times New Roman" w:hAnsi="Arial" w:cs="Arial"/>
            <w:sz w:val="18"/>
            <w:szCs w:val="18"/>
            <w:lang w:val="de-DE" w:eastAsia="de-DE"/>
          </w:rPr>
          <w:t>https://www.gxfs.de/wp-content/uploads/2021/06/SRS_GXFS_CP_NOTAR.pdf</w:t>
        </w:r>
      </w:hyperlink>
      <w:r w:rsidR="005C0081">
        <w:rPr>
          <w:rFonts w:ascii="Arial" w:eastAsia="Times New Roman" w:hAnsi="Arial" w:cs="Arial"/>
          <w:sz w:val="18"/>
          <w:szCs w:val="18"/>
          <w:lang w:val="de-DE" w:eastAsia="de-DE"/>
        </w:rPr>
        <w:t xml:space="preserve"> </w:t>
      </w:r>
    </w:p>
    <w:p w14:paraId="4D0530AD" w14:textId="77777777" w:rsidR="001246C0" w:rsidRDefault="001246C0" w:rsidP="00CB2F7B">
      <w:pPr>
        <w:spacing w:after="120"/>
        <w:jc w:val="both"/>
        <w:rPr>
          <w:rFonts w:ascii="Arial" w:hAnsi="Arial" w:cs="Arial"/>
          <w:bCs/>
          <w:sz w:val="18"/>
          <w:lang w:val="de-DE"/>
        </w:rPr>
      </w:pPr>
    </w:p>
    <w:p w14:paraId="653FE3EB" w14:textId="77777777" w:rsidR="0040304B" w:rsidRPr="007E4FFD" w:rsidRDefault="0040304B" w:rsidP="0040304B">
      <w:pPr>
        <w:pStyle w:val="Kopfzeile"/>
        <w:ind w:left="12"/>
        <w:jc w:val="both"/>
        <w:outlineLvl w:val="0"/>
        <w:rPr>
          <w:rFonts w:ascii="Arial" w:hAnsi="Arial"/>
          <w:b/>
          <w:sz w:val="18"/>
          <w:szCs w:val="18"/>
        </w:rPr>
      </w:pPr>
      <w:r w:rsidRPr="007E4FFD">
        <w:rPr>
          <w:rFonts w:ascii="Arial" w:hAnsi="Arial"/>
          <w:b/>
          <w:sz w:val="18"/>
          <w:szCs w:val="18"/>
        </w:rPr>
        <w:t>Pressekontakt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34CE8" w14:paraId="1EF2B46B" w14:textId="77777777" w:rsidTr="00334CE8">
        <w:tc>
          <w:tcPr>
            <w:tcW w:w="4530" w:type="dxa"/>
          </w:tcPr>
          <w:p w14:paraId="25EB049E" w14:textId="77777777" w:rsidR="00334CE8" w:rsidRDefault="00334CE8"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ecsec GmbH</w:t>
            </w:r>
          </w:p>
          <w:p w14:paraId="23C5C887"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334CE8" w:rsidRPr="0060412E" w:rsidRDefault="00334CE8"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6" w:history="1">
              <w:r w:rsidRPr="00132F6F">
                <w:rPr>
                  <w:rStyle w:val="Hyperlink"/>
                  <w:rFonts w:ascii="Arial" w:hAnsi="Arial"/>
                  <w:sz w:val="18"/>
                  <w:szCs w:val="18"/>
                  <w:lang w:val="it-IT"/>
                </w:rPr>
                <w:t>presse@ecsec.de</w:t>
              </w:r>
            </w:hyperlink>
          </w:p>
          <w:p w14:paraId="7DCAC4A7" w14:textId="77777777" w:rsidR="00334CE8" w:rsidRPr="007C19AE" w:rsidRDefault="00DA3248" w:rsidP="006431D6">
            <w:pPr>
              <w:spacing w:after="0" w:line="240" w:lineRule="auto"/>
              <w:ind w:left="-697" w:firstLine="708"/>
              <w:rPr>
                <w:rFonts w:ascii="Arial" w:hAnsi="Arial" w:cs="Arial"/>
                <w:sz w:val="18"/>
                <w:lang w:val="de-DE"/>
              </w:rPr>
            </w:pPr>
            <w:hyperlink r:id="rId27" w:history="1">
              <w:r w:rsidR="00334CE8" w:rsidRPr="00A450F4">
                <w:rPr>
                  <w:rStyle w:val="Hyperlink"/>
                  <w:rFonts w:ascii="Arial" w:hAnsi="Arial" w:cs="Arial"/>
                  <w:sz w:val="18"/>
                  <w:lang w:val="de-DE"/>
                </w:rPr>
                <w:t>https://ecsec.de</w:t>
              </w:r>
            </w:hyperlink>
            <w:r w:rsidR="00334CE8">
              <w:rPr>
                <w:rFonts w:ascii="Arial" w:hAnsi="Arial" w:cs="Arial"/>
                <w:sz w:val="18"/>
                <w:lang w:val="de-DE"/>
              </w:rPr>
              <w:t xml:space="preserve"> </w:t>
            </w:r>
          </w:p>
          <w:p w14:paraId="66E7364C" w14:textId="77777777" w:rsidR="00334CE8" w:rsidRDefault="00334CE8" w:rsidP="006431D6">
            <w:pPr>
              <w:pStyle w:val="Kopfzeile"/>
              <w:jc w:val="both"/>
              <w:rPr>
                <w:rFonts w:ascii="Arial" w:hAnsi="Arial"/>
                <w:sz w:val="18"/>
                <w:szCs w:val="18"/>
              </w:rPr>
            </w:pP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FFE6" w14:textId="77777777" w:rsidR="00DA3248" w:rsidRDefault="00DA3248" w:rsidP="00395623">
      <w:pPr>
        <w:spacing w:after="0" w:line="240" w:lineRule="auto"/>
      </w:pPr>
      <w:r>
        <w:separator/>
      </w:r>
    </w:p>
  </w:endnote>
  <w:endnote w:type="continuationSeparator" w:id="0">
    <w:p w14:paraId="428A4667" w14:textId="77777777" w:rsidR="00DA3248" w:rsidRDefault="00DA3248"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659" w14:textId="77777777" w:rsidR="00971428" w:rsidRDefault="0097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45E" w14:textId="77777777" w:rsidR="00971428" w:rsidRDefault="009714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68FF" w14:textId="77777777" w:rsidR="00971428" w:rsidRDefault="0097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7225" w14:textId="77777777" w:rsidR="00DA3248" w:rsidRDefault="00DA3248" w:rsidP="00395623">
      <w:pPr>
        <w:spacing w:after="0" w:line="240" w:lineRule="auto"/>
      </w:pPr>
      <w:r>
        <w:separator/>
      </w:r>
    </w:p>
  </w:footnote>
  <w:footnote w:type="continuationSeparator" w:id="0">
    <w:p w14:paraId="26E9D401" w14:textId="77777777" w:rsidR="00DA3248" w:rsidRDefault="00DA3248"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235C" w14:textId="77777777" w:rsidR="00971428" w:rsidRDefault="0097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E2B8" w14:textId="7CFEF8A8"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D3E" w14:textId="77777777" w:rsidR="00971428" w:rsidRDefault="0097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33757"/>
    <w:multiLevelType w:val="hybridMultilevel"/>
    <w:tmpl w:val="879AA710"/>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2"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AB22F4"/>
    <w:multiLevelType w:val="hybridMultilevel"/>
    <w:tmpl w:val="3B62A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61DD7"/>
    <w:rsid w:val="00063C57"/>
    <w:rsid w:val="00065F14"/>
    <w:rsid w:val="00072093"/>
    <w:rsid w:val="00076156"/>
    <w:rsid w:val="000819FE"/>
    <w:rsid w:val="000831EA"/>
    <w:rsid w:val="00084334"/>
    <w:rsid w:val="000854AB"/>
    <w:rsid w:val="00097710"/>
    <w:rsid w:val="000B701F"/>
    <w:rsid w:val="000C1357"/>
    <w:rsid w:val="000C2733"/>
    <w:rsid w:val="000D579A"/>
    <w:rsid w:val="000E271E"/>
    <w:rsid w:val="000E4FFF"/>
    <w:rsid w:val="000E63DE"/>
    <w:rsid w:val="000F3910"/>
    <w:rsid w:val="000F4812"/>
    <w:rsid w:val="000F5BFE"/>
    <w:rsid w:val="00102934"/>
    <w:rsid w:val="00107EE3"/>
    <w:rsid w:val="00114F78"/>
    <w:rsid w:val="001162A9"/>
    <w:rsid w:val="0011741A"/>
    <w:rsid w:val="001246C0"/>
    <w:rsid w:val="00130DEB"/>
    <w:rsid w:val="00132840"/>
    <w:rsid w:val="00133746"/>
    <w:rsid w:val="0014014A"/>
    <w:rsid w:val="001530EC"/>
    <w:rsid w:val="001558DD"/>
    <w:rsid w:val="00163123"/>
    <w:rsid w:val="0016417C"/>
    <w:rsid w:val="00166EC5"/>
    <w:rsid w:val="00171B3D"/>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42A"/>
    <w:rsid w:val="00247DDE"/>
    <w:rsid w:val="00251A13"/>
    <w:rsid w:val="002538DB"/>
    <w:rsid w:val="00254C1D"/>
    <w:rsid w:val="00255284"/>
    <w:rsid w:val="00260D02"/>
    <w:rsid w:val="002817B3"/>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2C9F"/>
    <w:rsid w:val="00323C8C"/>
    <w:rsid w:val="0032666C"/>
    <w:rsid w:val="0033200E"/>
    <w:rsid w:val="0033220C"/>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5A6F"/>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17290"/>
    <w:rsid w:val="00420F1C"/>
    <w:rsid w:val="00423F5A"/>
    <w:rsid w:val="0043111A"/>
    <w:rsid w:val="00432AA4"/>
    <w:rsid w:val="00440183"/>
    <w:rsid w:val="004401E2"/>
    <w:rsid w:val="00444CE9"/>
    <w:rsid w:val="004543EA"/>
    <w:rsid w:val="0045758F"/>
    <w:rsid w:val="004608B2"/>
    <w:rsid w:val="00466382"/>
    <w:rsid w:val="00471EBC"/>
    <w:rsid w:val="00472F6D"/>
    <w:rsid w:val="00473C91"/>
    <w:rsid w:val="004753CC"/>
    <w:rsid w:val="004854EF"/>
    <w:rsid w:val="00485A14"/>
    <w:rsid w:val="004870C5"/>
    <w:rsid w:val="00491051"/>
    <w:rsid w:val="00491619"/>
    <w:rsid w:val="004925C0"/>
    <w:rsid w:val="00492B2A"/>
    <w:rsid w:val="00496BCF"/>
    <w:rsid w:val="004B0EE2"/>
    <w:rsid w:val="004B1C71"/>
    <w:rsid w:val="004B2315"/>
    <w:rsid w:val="004B5A17"/>
    <w:rsid w:val="004B6C24"/>
    <w:rsid w:val="004C0FC2"/>
    <w:rsid w:val="004C633F"/>
    <w:rsid w:val="004D4A4F"/>
    <w:rsid w:val="004E0F1F"/>
    <w:rsid w:val="004E210F"/>
    <w:rsid w:val="004E2696"/>
    <w:rsid w:val="004E3DFA"/>
    <w:rsid w:val="004E4E85"/>
    <w:rsid w:val="004E687C"/>
    <w:rsid w:val="004F003A"/>
    <w:rsid w:val="004F36DB"/>
    <w:rsid w:val="004F56B0"/>
    <w:rsid w:val="00502067"/>
    <w:rsid w:val="00510D0B"/>
    <w:rsid w:val="00522D5E"/>
    <w:rsid w:val="00525212"/>
    <w:rsid w:val="00530640"/>
    <w:rsid w:val="00531427"/>
    <w:rsid w:val="00532E08"/>
    <w:rsid w:val="00541687"/>
    <w:rsid w:val="00544B7E"/>
    <w:rsid w:val="0054753C"/>
    <w:rsid w:val="00551938"/>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B1CEC"/>
    <w:rsid w:val="005B4118"/>
    <w:rsid w:val="005C0081"/>
    <w:rsid w:val="005C102A"/>
    <w:rsid w:val="005C1C1F"/>
    <w:rsid w:val="005C4ED2"/>
    <w:rsid w:val="005C5442"/>
    <w:rsid w:val="005C5C11"/>
    <w:rsid w:val="005D07B2"/>
    <w:rsid w:val="005D0E89"/>
    <w:rsid w:val="005E0813"/>
    <w:rsid w:val="005E1052"/>
    <w:rsid w:val="005E68EF"/>
    <w:rsid w:val="005F41DE"/>
    <w:rsid w:val="00606989"/>
    <w:rsid w:val="00611BB5"/>
    <w:rsid w:val="006305C2"/>
    <w:rsid w:val="00630BFB"/>
    <w:rsid w:val="00631775"/>
    <w:rsid w:val="006339EE"/>
    <w:rsid w:val="00640956"/>
    <w:rsid w:val="00642D50"/>
    <w:rsid w:val="00644D6D"/>
    <w:rsid w:val="006451A0"/>
    <w:rsid w:val="006460C0"/>
    <w:rsid w:val="006635D1"/>
    <w:rsid w:val="006659AA"/>
    <w:rsid w:val="0066747A"/>
    <w:rsid w:val="00667DBF"/>
    <w:rsid w:val="006758A4"/>
    <w:rsid w:val="00675D0B"/>
    <w:rsid w:val="0068554D"/>
    <w:rsid w:val="00692A24"/>
    <w:rsid w:val="00694FD8"/>
    <w:rsid w:val="00696AA7"/>
    <w:rsid w:val="006A126A"/>
    <w:rsid w:val="006A1CBB"/>
    <w:rsid w:val="006A29D7"/>
    <w:rsid w:val="006A4056"/>
    <w:rsid w:val="006B0644"/>
    <w:rsid w:val="006B5A50"/>
    <w:rsid w:val="006B796D"/>
    <w:rsid w:val="006C15AE"/>
    <w:rsid w:val="006C6274"/>
    <w:rsid w:val="006D6BEB"/>
    <w:rsid w:val="006E0CEE"/>
    <w:rsid w:val="006E0D1F"/>
    <w:rsid w:val="006E7B01"/>
    <w:rsid w:val="006F5175"/>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51A92"/>
    <w:rsid w:val="00761447"/>
    <w:rsid w:val="0077148B"/>
    <w:rsid w:val="00775717"/>
    <w:rsid w:val="0077726E"/>
    <w:rsid w:val="00782C06"/>
    <w:rsid w:val="00792030"/>
    <w:rsid w:val="007927D2"/>
    <w:rsid w:val="00797E62"/>
    <w:rsid w:val="007A510C"/>
    <w:rsid w:val="007A53CC"/>
    <w:rsid w:val="007A55D5"/>
    <w:rsid w:val="007B1AC8"/>
    <w:rsid w:val="007B6725"/>
    <w:rsid w:val="007C15FD"/>
    <w:rsid w:val="007C5176"/>
    <w:rsid w:val="007C61B4"/>
    <w:rsid w:val="007D0662"/>
    <w:rsid w:val="007D17BA"/>
    <w:rsid w:val="007D3F7C"/>
    <w:rsid w:val="007D727D"/>
    <w:rsid w:val="007E355C"/>
    <w:rsid w:val="007E3E9C"/>
    <w:rsid w:val="007F693E"/>
    <w:rsid w:val="00806BB8"/>
    <w:rsid w:val="008109B4"/>
    <w:rsid w:val="00821CD2"/>
    <w:rsid w:val="008228CF"/>
    <w:rsid w:val="00835CAB"/>
    <w:rsid w:val="00842325"/>
    <w:rsid w:val="00844126"/>
    <w:rsid w:val="0085264B"/>
    <w:rsid w:val="00852ADD"/>
    <w:rsid w:val="008559FD"/>
    <w:rsid w:val="00867660"/>
    <w:rsid w:val="00875085"/>
    <w:rsid w:val="008754AF"/>
    <w:rsid w:val="008767E7"/>
    <w:rsid w:val="00877732"/>
    <w:rsid w:val="00883E11"/>
    <w:rsid w:val="00884134"/>
    <w:rsid w:val="00895515"/>
    <w:rsid w:val="00896DF6"/>
    <w:rsid w:val="008A0399"/>
    <w:rsid w:val="008A6118"/>
    <w:rsid w:val="008A6FF6"/>
    <w:rsid w:val="008B28A4"/>
    <w:rsid w:val="008B38BD"/>
    <w:rsid w:val="008C0005"/>
    <w:rsid w:val="008C09C0"/>
    <w:rsid w:val="008C6DDA"/>
    <w:rsid w:val="008C6F2B"/>
    <w:rsid w:val="008C7D0B"/>
    <w:rsid w:val="008E189E"/>
    <w:rsid w:val="008E35E1"/>
    <w:rsid w:val="008E4A5D"/>
    <w:rsid w:val="008F4EDA"/>
    <w:rsid w:val="008F5107"/>
    <w:rsid w:val="008F6495"/>
    <w:rsid w:val="009004F5"/>
    <w:rsid w:val="00901C9C"/>
    <w:rsid w:val="009063C8"/>
    <w:rsid w:val="00914981"/>
    <w:rsid w:val="00914E32"/>
    <w:rsid w:val="00922DB1"/>
    <w:rsid w:val="009234A6"/>
    <w:rsid w:val="00925342"/>
    <w:rsid w:val="0092581D"/>
    <w:rsid w:val="0093179A"/>
    <w:rsid w:val="00945360"/>
    <w:rsid w:val="00945721"/>
    <w:rsid w:val="00950271"/>
    <w:rsid w:val="0095105F"/>
    <w:rsid w:val="009548EB"/>
    <w:rsid w:val="009567A4"/>
    <w:rsid w:val="009602A9"/>
    <w:rsid w:val="00971428"/>
    <w:rsid w:val="00974257"/>
    <w:rsid w:val="00975500"/>
    <w:rsid w:val="00976C8B"/>
    <w:rsid w:val="00976C95"/>
    <w:rsid w:val="009875C8"/>
    <w:rsid w:val="00994328"/>
    <w:rsid w:val="009950CD"/>
    <w:rsid w:val="0099650B"/>
    <w:rsid w:val="009B19B2"/>
    <w:rsid w:val="009B3038"/>
    <w:rsid w:val="009C41A2"/>
    <w:rsid w:val="009C73AE"/>
    <w:rsid w:val="009D5702"/>
    <w:rsid w:val="009D7F35"/>
    <w:rsid w:val="009E321C"/>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299C"/>
    <w:rsid w:val="00A947C6"/>
    <w:rsid w:val="00AB1C71"/>
    <w:rsid w:val="00AB4940"/>
    <w:rsid w:val="00AB5DF3"/>
    <w:rsid w:val="00AB7E1A"/>
    <w:rsid w:val="00AC1D93"/>
    <w:rsid w:val="00AC5332"/>
    <w:rsid w:val="00AD431C"/>
    <w:rsid w:val="00AD7A9D"/>
    <w:rsid w:val="00AE1AEC"/>
    <w:rsid w:val="00AE2B9A"/>
    <w:rsid w:val="00AF1990"/>
    <w:rsid w:val="00AF3255"/>
    <w:rsid w:val="00AF4953"/>
    <w:rsid w:val="00B01B38"/>
    <w:rsid w:val="00B01CBD"/>
    <w:rsid w:val="00B03543"/>
    <w:rsid w:val="00B04F01"/>
    <w:rsid w:val="00B057E1"/>
    <w:rsid w:val="00B07717"/>
    <w:rsid w:val="00B11984"/>
    <w:rsid w:val="00B1365B"/>
    <w:rsid w:val="00B15CEF"/>
    <w:rsid w:val="00B375AA"/>
    <w:rsid w:val="00B37A68"/>
    <w:rsid w:val="00B47D60"/>
    <w:rsid w:val="00B55C60"/>
    <w:rsid w:val="00B575AC"/>
    <w:rsid w:val="00B57A01"/>
    <w:rsid w:val="00B669ED"/>
    <w:rsid w:val="00B7742B"/>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07E47"/>
    <w:rsid w:val="00C11692"/>
    <w:rsid w:val="00C257D3"/>
    <w:rsid w:val="00C32A9C"/>
    <w:rsid w:val="00C35747"/>
    <w:rsid w:val="00C40A3B"/>
    <w:rsid w:val="00C4137E"/>
    <w:rsid w:val="00C4271E"/>
    <w:rsid w:val="00C44C28"/>
    <w:rsid w:val="00C52744"/>
    <w:rsid w:val="00C53ABF"/>
    <w:rsid w:val="00C53D3E"/>
    <w:rsid w:val="00C55284"/>
    <w:rsid w:val="00C64109"/>
    <w:rsid w:val="00C64544"/>
    <w:rsid w:val="00C706D6"/>
    <w:rsid w:val="00C72D3C"/>
    <w:rsid w:val="00C73CDA"/>
    <w:rsid w:val="00C74105"/>
    <w:rsid w:val="00C77165"/>
    <w:rsid w:val="00C80C7F"/>
    <w:rsid w:val="00C8298F"/>
    <w:rsid w:val="00C82AC9"/>
    <w:rsid w:val="00C904D7"/>
    <w:rsid w:val="00C91F56"/>
    <w:rsid w:val="00C93792"/>
    <w:rsid w:val="00CB04BF"/>
    <w:rsid w:val="00CB2F7B"/>
    <w:rsid w:val="00CB617D"/>
    <w:rsid w:val="00CC7E03"/>
    <w:rsid w:val="00CD31FD"/>
    <w:rsid w:val="00CD3FCA"/>
    <w:rsid w:val="00CD74E7"/>
    <w:rsid w:val="00CE38CC"/>
    <w:rsid w:val="00CE482E"/>
    <w:rsid w:val="00CE5797"/>
    <w:rsid w:val="00CE7FF8"/>
    <w:rsid w:val="00CF4F8E"/>
    <w:rsid w:val="00CF7C03"/>
    <w:rsid w:val="00D00268"/>
    <w:rsid w:val="00D0460C"/>
    <w:rsid w:val="00D0501E"/>
    <w:rsid w:val="00D06104"/>
    <w:rsid w:val="00D07626"/>
    <w:rsid w:val="00D10411"/>
    <w:rsid w:val="00D14BCC"/>
    <w:rsid w:val="00D179AD"/>
    <w:rsid w:val="00D17B90"/>
    <w:rsid w:val="00D17E9D"/>
    <w:rsid w:val="00D26B37"/>
    <w:rsid w:val="00D327AF"/>
    <w:rsid w:val="00D36BA1"/>
    <w:rsid w:val="00D41AD4"/>
    <w:rsid w:val="00D57200"/>
    <w:rsid w:val="00D63D49"/>
    <w:rsid w:val="00D649FB"/>
    <w:rsid w:val="00D77CC0"/>
    <w:rsid w:val="00D828C9"/>
    <w:rsid w:val="00D852D9"/>
    <w:rsid w:val="00D8799E"/>
    <w:rsid w:val="00D90DCE"/>
    <w:rsid w:val="00D938D8"/>
    <w:rsid w:val="00D938F5"/>
    <w:rsid w:val="00D94028"/>
    <w:rsid w:val="00D96293"/>
    <w:rsid w:val="00DA0249"/>
    <w:rsid w:val="00DA2A0F"/>
    <w:rsid w:val="00DA3248"/>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6BB3"/>
    <w:rsid w:val="00E27820"/>
    <w:rsid w:val="00E322C2"/>
    <w:rsid w:val="00E349BF"/>
    <w:rsid w:val="00E35C2A"/>
    <w:rsid w:val="00E40CC7"/>
    <w:rsid w:val="00E40E22"/>
    <w:rsid w:val="00E465A7"/>
    <w:rsid w:val="00E47A6F"/>
    <w:rsid w:val="00E50CC5"/>
    <w:rsid w:val="00E55A21"/>
    <w:rsid w:val="00E63265"/>
    <w:rsid w:val="00E65317"/>
    <w:rsid w:val="00E6568E"/>
    <w:rsid w:val="00E67F92"/>
    <w:rsid w:val="00E74AC8"/>
    <w:rsid w:val="00E74DFC"/>
    <w:rsid w:val="00E74E70"/>
    <w:rsid w:val="00E76C58"/>
    <w:rsid w:val="00E8437B"/>
    <w:rsid w:val="00E855E9"/>
    <w:rsid w:val="00E91946"/>
    <w:rsid w:val="00E921B6"/>
    <w:rsid w:val="00E968CA"/>
    <w:rsid w:val="00EA0701"/>
    <w:rsid w:val="00EB2197"/>
    <w:rsid w:val="00EB7547"/>
    <w:rsid w:val="00EC1298"/>
    <w:rsid w:val="00EC1842"/>
    <w:rsid w:val="00EC19FA"/>
    <w:rsid w:val="00EF0044"/>
    <w:rsid w:val="00EF0887"/>
    <w:rsid w:val="00EF74A6"/>
    <w:rsid w:val="00F019F6"/>
    <w:rsid w:val="00F01E30"/>
    <w:rsid w:val="00F02843"/>
    <w:rsid w:val="00F034A5"/>
    <w:rsid w:val="00F0789C"/>
    <w:rsid w:val="00F10682"/>
    <w:rsid w:val="00F10C3F"/>
    <w:rsid w:val="00F16C38"/>
    <w:rsid w:val="00F1712B"/>
    <w:rsid w:val="00F20387"/>
    <w:rsid w:val="00F211D6"/>
    <w:rsid w:val="00F25653"/>
    <w:rsid w:val="00F30569"/>
    <w:rsid w:val="00F3534C"/>
    <w:rsid w:val="00F41758"/>
    <w:rsid w:val="00F42CEF"/>
    <w:rsid w:val="00F466A3"/>
    <w:rsid w:val="00F619AF"/>
    <w:rsid w:val="00F62FF7"/>
    <w:rsid w:val="00F64D69"/>
    <w:rsid w:val="00F652F5"/>
    <w:rsid w:val="00F66AC9"/>
    <w:rsid w:val="00F71596"/>
    <w:rsid w:val="00F72101"/>
    <w:rsid w:val="00F735F2"/>
    <w:rsid w:val="00F76F9B"/>
    <w:rsid w:val="00F82E06"/>
    <w:rsid w:val="00F8724B"/>
    <w:rsid w:val="00F90D45"/>
    <w:rsid w:val="00F934D6"/>
    <w:rsid w:val="00FA07D7"/>
    <w:rsid w:val="00FA3557"/>
    <w:rsid w:val="00FA3DD4"/>
    <w:rsid w:val="00FB69A1"/>
    <w:rsid w:val="00FD157F"/>
    <w:rsid w:val="00FD285B"/>
    <w:rsid w:val="00FD59CB"/>
    <w:rsid w:val="00FD6865"/>
    <w:rsid w:val="00FD6E14"/>
    <w:rsid w:val="00FE4F98"/>
    <w:rsid w:val="00FE7292"/>
    <w:rsid w:val="00FE7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708066107">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wi.de/Navigation/DE/Home/home.html" TargetMode="External"/><Relationship Id="rId13" Type="http://schemas.openxmlformats.org/officeDocument/2006/relationships/hyperlink" Target="https://www.w3.org/TR/vc-data-model/" TargetMode="External"/><Relationship Id="rId18" Type="http://schemas.openxmlformats.org/officeDocument/2006/relationships/hyperlink" Target="https://www.w3.org/TR/vc-data-model/" TargetMode="External"/><Relationship Id="rId26" Type="http://schemas.openxmlformats.org/officeDocument/2006/relationships/hyperlink" Target="mailto:presse@ecsec.de" TargetMode="External"/><Relationship Id="rId3" Type="http://schemas.openxmlformats.org/officeDocument/2006/relationships/styles" Target="styles.xml"/><Relationship Id="rId21" Type="http://schemas.openxmlformats.org/officeDocument/2006/relationships/hyperlink" Target="https://www.msg.grou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sec.de" TargetMode="External"/><Relationship Id="rId17" Type="http://schemas.openxmlformats.org/officeDocument/2006/relationships/hyperlink" Target="https://medium.com/@susi.guth/the-digital-product-passport-and-its-technical-implementation-efdd09a4ed75" TargetMode="External"/><Relationship Id="rId25" Type="http://schemas.openxmlformats.org/officeDocument/2006/relationships/hyperlink" Target="https://www.gxfs.de/wp-content/uploads/2021/06/SRS_GXFS_CP_NOTAR.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edium.com/spherity/brief-introduction-to-the-german-supply-chain-act-a8b606349944" TargetMode="External"/><Relationship Id="rId20" Type="http://schemas.openxmlformats.org/officeDocument/2006/relationships/hyperlink" Target="https://ecsec.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herity.com/" TargetMode="External"/><Relationship Id="rId24" Type="http://schemas.openxmlformats.org/officeDocument/2006/relationships/hyperlink" Target="https://www.gxfs.de/federation-services/identity-trust/notarization-ap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pherity.com/credentialing-service/" TargetMode="External"/><Relationship Id="rId23" Type="http://schemas.openxmlformats.org/officeDocument/2006/relationships/hyperlink" Target="https://medium.com/spherity/spherity-achieves-iso-27001-certification-f687ee42c40e" TargetMode="External"/><Relationship Id="rId28" Type="http://schemas.openxmlformats.org/officeDocument/2006/relationships/header" Target="header1.xml"/><Relationship Id="rId10" Type="http://schemas.openxmlformats.org/officeDocument/2006/relationships/hyperlink" Target="https://www.msg.group/" TargetMode="External"/><Relationship Id="rId19" Type="http://schemas.openxmlformats.org/officeDocument/2006/relationships/hyperlink" Target="https://www.data-infrastructure.eu/GAIAX/Navigation/EN/Home/home.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xfs.de/federation-services/identity-trust/notarization-api/" TargetMode="External"/><Relationship Id="rId14" Type="http://schemas.openxmlformats.org/officeDocument/2006/relationships/hyperlink" Target="https://catena-x.net/de/" TargetMode="External"/><Relationship Id="rId22" Type="http://schemas.openxmlformats.org/officeDocument/2006/relationships/hyperlink" Target="https://spherity.com/" TargetMode="External"/><Relationship Id="rId27" Type="http://schemas.openxmlformats.org/officeDocument/2006/relationships/hyperlink" Target="https://ecsec.de"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Detlef Hühnlein</cp:lastModifiedBy>
  <cp:revision>5</cp:revision>
  <cp:lastPrinted>2021-06-18T15:49:00Z</cp:lastPrinted>
  <dcterms:created xsi:type="dcterms:W3CDTF">2022-02-03T07:52:00Z</dcterms:created>
  <dcterms:modified xsi:type="dcterms:W3CDTF">2022-02-21T14:57:00Z</dcterms:modified>
</cp:coreProperties>
</file>